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DG-L-0424-2-2024</w:t>
      </w:r>
    </w:p>
    <w:p>
      <w:pPr>
        <w:snapToGrid w:val="0"/>
        <w:spacing w:line="594" w:lineRule="exact"/>
        <w:jc w:val="right"/>
        <w:rPr>
          <w:rFonts w:hint="eastAsia" w:ascii="仿宋_GB2312" w:hAnsi="仿宋_GB2312" w:eastAsia="仿宋_GB2312" w:cs="仿宋_GB2312"/>
          <w:sz w:val="32"/>
          <w:szCs w:val="32"/>
        </w:rPr>
      </w:pPr>
    </w:p>
    <w:p>
      <w:pPr>
        <w:snapToGrid w:val="0"/>
        <w:spacing w:line="594" w:lineRule="exact"/>
        <w:jc w:val="center"/>
        <w:rPr>
          <w:rFonts w:eastAsia="方正小标宋简体"/>
          <w:sz w:val="44"/>
          <w:szCs w:val="44"/>
        </w:rPr>
      </w:pPr>
      <w:r>
        <w:rPr>
          <w:rFonts w:hint="eastAsia" w:eastAsia="方正小标宋简体"/>
          <w:sz w:val="44"/>
          <w:szCs w:val="44"/>
        </w:rPr>
        <w:t>东莞市通信电缆产品质量监督抽查实施细则</w:t>
      </w:r>
    </w:p>
    <w:p>
      <w:pPr>
        <w:spacing w:line="560" w:lineRule="exact"/>
        <w:jc w:val="center"/>
        <w:rPr>
          <w:rFonts w:eastAsia="楷体_GB2312"/>
          <w:szCs w:val="32"/>
        </w:rPr>
      </w:pPr>
      <w:r>
        <w:rPr>
          <w:rFonts w:eastAsia="楷体_GB2312"/>
          <w:szCs w:val="32"/>
        </w:rPr>
        <w:t>（2024年版）</w:t>
      </w:r>
    </w:p>
    <w:p>
      <w:pPr>
        <w:snapToGrid w:val="0"/>
        <w:spacing w:line="440" w:lineRule="exact"/>
        <w:rPr>
          <w:rFonts w:eastAsia="黑体"/>
          <w:sz w:val="21"/>
          <w:szCs w:val="21"/>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rFonts w:hint="eastAsia"/>
          <w:szCs w:val="32"/>
        </w:rPr>
        <w:t>以随机抽样的方式在被抽样经营者的待销产品中抽取。</w:t>
      </w:r>
    </w:p>
    <w:p>
      <w:pPr>
        <w:snapToGrid w:val="0"/>
        <w:spacing w:line="560" w:lineRule="exact"/>
        <w:ind w:firstLine="632" w:firstLineChars="200"/>
        <w:rPr>
          <w:szCs w:val="32"/>
        </w:rPr>
      </w:pPr>
      <w:r>
        <w:rPr>
          <w:rFonts w:hint="eastAsia"/>
          <w:szCs w:val="32"/>
        </w:rPr>
        <w:t>随机数一般可使用随机数表等方法产生。</w:t>
      </w:r>
    </w:p>
    <w:p>
      <w:pPr>
        <w:snapToGrid w:val="0"/>
        <w:spacing w:line="560" w:lineRule="exact"/>
        <w:ind w:firstLine="632" w:firstLineChars="200"/>
        <w:rPr>
          <w:szCs w:val="32"/>
        </w:rPr>
      </w:pPr>
      <w:r>
        <w:rPr>
          <w:rFonts w:hint="eastAsia"/>
          <w:szCs w:val="32"/>
        </w:rPr>
        <w:t>每批次产品抽取2组样本，第1组用于检验，第2组用于备样。具体抽样数量和方法如下：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29"/>
        <w:gridCol w:w="2255"/>
        <w:gridCol w:w="2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831"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序号</w:t>
            </w:r>
          </w:p>
        </w:tc>
        <w:tc>
          <w:tcPr>
            <w:tcW w:w="3829"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产品名称</w:t>
            </w:r>
          </w:p>
        </w:tc>
        <w:tc>
          <w:tcPr>
            <w:tcW w:w="2255"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第1组数量</w:t>
            </w:r>
          </w:p>
        </w:tc>
        <w:tc>
          <w:tcPr>
            <w:tcW w:w="2255"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831"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1</w:t>
            </w:r>
          </w:p>
        </w:tc>
        <w:tc>
          <w:tcPr>
            <w:tcW w:w="3829" w:type="dxa"/>
            <w:vAlign w:val="center"/>
          </w:tcPr>
          <w:p>
            <w:pPr>
              <w:adjustRightInd w:val="0"/>
              <w:snapToGrid w:val="0"/>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数字通信用聚烯烃绝缘水平对绞电缆</w:t>
            </w:r>
          </w:p>
        </w:tc>
        <w:tc>
          <w:tcPr>
            <w:tcW w:w="2255"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不少于100米</w:t>
            </w:r>
          </w:p>
        </w:tc>
        <w:tc>
          <w:tcPr>
            <w:tcW w:w="2255"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不少于100米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831"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2</w:t>
            </w:r>
          </w:p>
        </w:tc>
        <w:tc>
          <w:tcPr>
            <w:tcW w:w="3829"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有线电视系统物理发泡聚乙烯绝缘同轴电缆</w:t>
            </w:r>
          </w:p>
        </w:tc>
        <w:tc>
          <w:tcPr>
            <w:tcW w:w="2255"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不少于100米</w:t>
            </w:r>
          </w:p>
        </w:tc>
        <w:tc>
          <w:tcPr>
            <w:tcW w:w="2255"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不少于100米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831"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3</w:t>
            </w:r>
          </w:p>
        </w:tc>
        <w:tc>
          <w:tcPr>
            <w:tcW w:w="3829"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实心聚乙烯绝缘柔软射频电缆</w:t>
            </w:r>
          </w:p>
        </w:tc>
        <w:tc>
          <w:tcPr>
            <w:tcW w:w="2255"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不少于100米</w:t>
            </w:r>
          </w:p>
        </w:tc>
        <w:tc>
          <w:tcPr>
            <w:tcW w:w="2255" w:type="dxa"/>
            <w:vAlign w:val="center"/>
          </w:tcPr>
          <w:p>
            <w:pPr>
              <w:spacing w:line="400" w:lineRule="exact"/>
              <w:jc w:val="center"/>
              <w:rPr>
                <w:rFonts w:ascii="宋体" w:hAnsi="宋体" w:eastAsia="宋体" w:cs="宋体"/>
                <w:bCs/>
                <w:color w:val="000000"/>
                <w:sz w:val="21"/>
                <w:szCs w:val="21"/>
              </w:rPr>
            </w:pPr>
            <w:r>
              <w:rPr>
                <w:rFonts w:hint="eastAsia" w:ascii="宋体" w:hAnsi="宋体" w:eastAsia="宋体" w:cs="宋体"/>
                <w:bCs/>
                <w:color w:val="000000"/>
                <w:sz w:val="21"/>
                <w:szCs w:val="21"/>
              </w:rPr>
              <w:t>不少于100米</w:t>
            </w:r>
          </w:p>
        </w:tc>
      </w:tr>
    </w:tbl>
    <w:p>
      <w:pPr>
        <w:snapToGrid w:val="0"/>
        <w:spacing w:line="560" w:lineRule="exact"/>
        <w:ind w:firstLine="632" w:firstLineChars="200"/>
        <w:rPr>
          <w:szCs w:val="32"/>
        </w:rPr>
      </w:pPr>
      <w:r>
        <w:rPr>
          <w:rFonts w:eastAsia="黑体"/>
          <w:szCs w:val="32"/>
        </w:rPr>
        <w:t>2 检验依据</w:t>
      </w:r>
    </w:p>
    <w:p>
      <w:pPr>
        <w:snapToGrid w:val="0"/>
        <w:spacing w:line="560" w:lineRule="exact"/>
        <w:ind w:firstLine="632" w:firstLineChars="200"/>
        <w:rPr>
          <w:szCs w:val="32"/>
        </w:rPr>
      </w:pPr>
      <w:r>
        <w:rPr>
          <w:rFonts w:hint="eastAsia"/>
          <w:szCs w:val="32"/>
        </w:rPr>
        <w:t>2.1数字通信用聚烯烃绝缘水平对绞电缆</w:t>
      </w:r>
    </w:p>
    <w:tbl>
      <w:tblPr>
        <w:tblStyle w:val="5"/>
        <w:tblW w:w="0" w:type="auto"/>
        <w:jc w:val="center"/>
        <w:tblLayout w:type="fixed"/>
        <w:tblCellMar>
          <w:top w:w="0" w:type="dxa"/>
          <w:left w:w="108" w:type="dxa"/>
          <w:bottom w:w="0" w:type="dxa"/>
          <w:right w:w="108" w:type="dxa"/>
        </w:tblCellMar>
      </w:tblPr>
      <w:tblGrid>
        <w:gridCol w:w="1376"/>
        <w:gridCol w:w="3248"/>
        <w:gridCol w:w="4548"/>
      </w:tblGrid>
      <w:tr>
        <w:tblPrEx>
          <w:tblCellMar>
            <w:top w:w="0" w:type="dxa"/>
            <w:left w:w="108" w:type="dxa"/>
            <w:bottom w:w="0" w:type="dxa"/>
            <w:right w:w="108" w:type="dxa"/>
          </w:tblCellMar>
        </w:tblPrEx>
        <w:trPr>
          <w:trHeight w:val="567" w:hRule="atLeast"/>
          <w:tblHeader/>
          <w:jc w:val="center"/>
        </w:trPr>
        <w:tc>
          <w:tcPr>
            <w:tcW w:w="137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32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567" w:hRule="atLeast"/>
          <w:jc w:val="center"/>
        </w:trPr>
        <w:tc>
          <w:tcPr>
            <w:tcW w:w="137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324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导体直径</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4909.2-2009</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电缆外径</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单根导体直流电阻</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837.2-1996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直流电阻不平衡</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837.2</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衰减</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838.1-2016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近端串音衰减</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838.1-2016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近端串音衰减功率和</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838.1-2016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衰减远端串音比</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838.1-2016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衰减远端串音比功率和</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838.1-2016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特性阻抗</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1019-2013</w:t>
            </w:r>
          </w:p>
          <w:p>
            <w:pPr>
              <w:jc w:val="center"/>
              <w:rPr>
                <w:rFonts w:eastAsia="宋体"/>
                <w:sz w:val="21"/>
              </w:rPr>
            </w:pPr>
            <w:r>
              <w:rPr>
                <w:rFonts w:hint="eastAsia" w:eastAsia="宋体"/>
                <w:sz w:val="21"/>
              </w:rPr>
              <w:t>YD/T 838.1-2016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eastAsia="宋体"/>
                <w:sz w:val="21"/>
              </w:rPr>
              <w:t>11</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回波损耗</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1019-2013</w:t>
            </w:r>
          </w:p>
          <w:p>
            <w:pPr>
              <w:jc w:val="center"/>
              <w:rPr>
                <w:rFonts w:eastAsia="宋体"/>
                <w:sz w:val="21"/>
              </w:rPr>
            </w:pPr>
            <w:r>
              <w:rPr>
                <w:rFonts w:hint="eastAsia" w:eastAsia="宋体"/>
                <w:sz w:val="21"/>
              </w:rPr>
              <w:t>YD/T 838.1-2016</w:t>
            </w:r>
          </w:p>
        </w:tc>
      </w:tr>
      <w:tr>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eastAsia="宋体"/>
                <w:sz w:val="21"/>
              </w:rPr>
              <w:t>12</w:t>
            </w:r>
          </w:p>
        </w:tc>
        <w:tc>
          <w:tcPr>
            <w:tcW w:w="324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长度标志误差</w:t>
            </w:r>
          </w:p>
        </w:tc>
        <w:tc>
          <w:tcPr>
            <w:tcW w:w="45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YD/T 1019-2013</w:t>
            </w:r>
          </w:p>
          <w:p>
            <w:pPr>
              <w:jc w:val="center"/>
              <w:rPr>
                <w:rFonts w:eastAsia="宋体"/>
                <w:sz w:val="21"/>
              </w:rPr>
            </w:pPr>
            <w:r>
              <w:rPr>
                <w:rFonts w:hint="eastAsia" w:eastAsia="宋体"/>
                <w:sz w:val="21"/>
              </w:rPr>
              <w:t>YD/T 1019-2023</w:t>
            </w:r>
          </w:p>
        </w:tc>
      </w:tr>
    </w:tbl>
    <w:p>
      <w:pPr>
        <w:snapToGrid w:val="0"/>
        <w:spacing w:line="560" w:lineRule="exact"/>
        <w:ind w:firstLine="632" w:firstLineChars="200"/>
        <w:rPr>
          <w:szCs w:val="32"/>
        </w:rPr>
      </w:pPr>
      <w:r>
        <w:rPr>
          <w:rFonts w:hint="eastAsia"/>
          <w:szCs w:val="32"/>
        </w:rPr>
        <w:t>2.2有线电视系统物理发泡聚乙烯绝缘同轴电缆</w:t>
      </w:r>
    </w:p>
    <w:tbl>
      <w:tblPr>
        <w:tblStyle w:val="5"/>
        <w:tblW w:w="0" w:type="auto"/>
        <w:jc w:val="center"/>
        <w:tblLayout w:type="fixed"/>
        <w:tblCellMar>
          <w:top w:w="0" w:type="dxa"/>
          <w:left w:w="108" w:type="dxa"/>
          <w:bottom w:w="0" w:type="dxa"/>
          <w:right w:w="108" w:type="dxa"/>
        </w:tblCellMar>
      </w:tblPr>
      <w:tblGrid>
        <w:gridCol w:w="1373"/>
        <w:gridCol w:w="3217"/>
        <w:gridCol w:w="4578"/>
      </w:tblGrid>
      <w:tr>
        <w:tblPrEx>
          <w:tblCellMar>
            <w:top w:w="0" w:type="dxa"/>
            <w:left w:w="108" w:type="dxa"/>
            <w:bottom w:w="0" w:type="dxa"/>
            <w:right w:w="108" w:type="dxa"/>
          </w:tblCellMar>
        </w:tblPrEx>
        <w:trPr>
          <w:trHeight w:val="23" w:hRule="atLeast"/>
          <w:tblHeader/>
          <w:jc w:val="center"/>
        </w:trPr>
        <w:tc>
          <w:tcPr>
            <w:tcW w:w="1373"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序号</w:t>
            </w:r>
          </w:p>
        </w:tc>
        <w:tc>
          <w:tcPr>
            <w:tcW w:w="3217"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检验项目</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23" w:hRule="atLeast"/>
          <w:jc w:val="center"/>
        </w:trPr>
        <w:tc>
          <w:tcPr>
            <w:tcW w:w="1373"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1</w:t>
            </w:r>
          </w:p>
        </w:tc>
        <w:tc>
          <w:tcPr>
            <w:tcW w:w="3217" w:type="dxa"/>
            <w:tcBorders>
              <w:top w:val="single" w:color="auto" w:sz="4" w:space="0"/>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内导体直径</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3" w:hRule="atLeast"/>
          <w:jc w:val="center"/>
        </w:trPr>
        <w:tc>
          <w:tcPr>
            <w:tcW w:w="1373" w:type="dxa"/>
            <w:tcBorders>
              <w:top w:val="nil"/>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2</w:t>
            </w:r>
          </w:p>
        </w:tc>
        <w:tc>
          <w:tcPr>
            <w:tcW w:w="3217" w:type="dxa"/>
            <w:tcBorders>
              <w:top w:val="nil"/>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绝缘直径</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3" w:hRule="atLeast"/>
          <w:jc w:val="center"/>
        </w:trPr>
        <w:tc>
          <w:tcPr>
            <w:tcW w:w="1373" w:type="dxa"/>
            <w:tcBorders>
              <w:top w:val="nil"/>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3</w:t>
            </w:r>
          </w:p>
        </w:tc>
        <w:tc>
          <w:tcPr>
            <w:tcW w:w="3217" w:type="dxa"/>
            <w:tcBorders>
              <w:top w:val="nil"/>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外导体直径</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3" w:hRule="atLeast"/>
          <w:jc w:val="center"/>
        </w:trPr>
        <w:tc>
          <w:tcPr>
            <w:tcW w:w="1373" w:type="dxa"/>
            <w:tcBorders>
              <w:top w:val="nil"/>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4</w:t>
            </w:r>
          </w:p>
        </w:tc>
        <w:tc>
          <w:tcPr>
            <w:tcW w:w="3217" w:type="dxa"/>
            <w:tcBorders>
              <w:top w:val="nil"/>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编织密度</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3" w:hRule="atLeast"/>
          <w:jc w:val="center"/>
        </w:trPr>
        <w:tc>
          <w:tcPr>
            <w:tcW w:w="1373" w:type="dxa"/>
            <w:tcBorders>
              <w:top w:val="nil"/>
              <w:left w:val="single" w:color="auto" w:sz="4" w:space="0"/>
              <w:bottom w:val="single" w:color="auto" w:sz="4" w:space="0"/>
              <w:right w:val="single" w:color="auto" w:sz="4" w:space="0"/>
            </w:tcBorders>
          </w:tcPr>
          <w:p>
            <w:pPr>
              <w:spacing w:line="340" w:lineRule="exact"/>
              <w:jc w:val="center"/>
              <w:rPr>
                <w:rFonts w:eastAsia="宋体"/>
                <w:sz w:val="21"/>
              </w:rPr>
            </w:pPr>
            <w:r>
              <w:rPr>
                <w:rFonts w:hint="eastAsia" w:eastAsia="宋体"/>
                <w:sz w:val="21"/>
              </w:rPr>
              <w:t>5</w:t>
            </w:r>
          </w:p>
        </w:tc>
        <w:tc>
          <w:tcPr>
            <w:tcW w:w="3217" w:type="dxa"/>
            <w:tcBorders>
              <w:top w:val="nil"/>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护套厚度</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3" w:hRule="atLeast"/>
          <w:jc w:val="center"/>
        </w:trPr>
        <w:tc>
          <w:tcPr>
            <w:tcW w:w="1373" w:type="dxa"/>
            <w:tcBorders>
              <w:top w:val="nil"/>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6</w:t>
            </w:r>
          </w:p>
        </w:tc>
        <w:tc>
          <w:tcPr>
            <w:tcW w:w="3217" w:type="dxa"/>
            <w:tcBorders>
              <w:top w:val="nil"/>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电缆直径</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3" w:hRule="atLeast"/>
          <w:jc w:val="center"/>
        </w:trPr>
        <w:tc>
          <w:tcPr>
            <w:tcW w:w="1373"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7</w:t>
            </w:r>
          </w:p>
        </w:tc>
        <w:tc>
          <w:tcPr>
            <w:tcW w:w="3217" w:type="dxa"/>
            <w:tcBorders>
              <w:top w:val="single" w:color="auto" w:sz="4" w:space="0"/>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特性阻抗</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GY/T 135-1998</w:t>
            </w:r>
          </w:p>
        </w:tc>
      </w:tr>
      <w:tr>
        <w:tblPrEx>
          <w:tblCellMar>
            <w:top w:w="0" w:type="dxa"/>
            <w:left w:w="108" w:type="dxa"/>
            <w:bottom w:w="0" w:type="dxa"/>
            <w:right w:w="108" w:type="dxa"/>
          </w:tblCellMar>
        </w:tblPrEx>
        <w:trPr>
          <w:trHeight w:val="23" w:hRule="atLeast"/>
          <w:jc w:val="center"/>
        </w:trPr>
        <w:tc>
          <w:tcPr>
            <w:tcW w:w="1373"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8</w:t>
            </w:r>
          </w:p>
        </w:tc>
        <w:tc>
          <w:tcPr>
            <w:tcW w:w="3217" w:type="dxa"/>
            <w:tcBorders>
              <w:top w:val="single" w:color="auto" w:sz="4" w:space="0"/>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衰减常数</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GY/T 135-1998</w:t>
            </w:r>
          </w:p>
        </w:tc>
      </w:tr>
      <w:tr>
        <w:tblPrEx>
          <w:tblCellMar>
            <w:top w:w="0" w:type="dxa"/>
            <w:left w:w="108" w:type="dxa"/>
            <w:bottom w:w="0" w:type="dxa"/>
            <w:right w:w="108" w:type="dxa"/>
          </w:tblCellMar>
        </w:tblPrEx>
        <w:trPr>
          <w:trHeight w:val="23" w:hRule="atLeast"/>
          <w:jc w:val="center"/>
        </w:trPr>
        <w:tc>
          <w:tcPr>
            <w:tcW w:w="1373"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9</w:t>
            </w:r>
          </w:p>
        </w:tc>
        <w:tc>
          <w:tcPr>
            <w:tcW w:w="3217" w:type="dxa"/>
            <w:tcBorders>
              <w:top w:val="single" w:color="auto" w:sz="4" w:space="0"/>
              <w:left w:val="nil"/>
              <w:bottom w:val="single" w:color="auto" w:sz="4" w:space="0"/>
              <w:right w:val="single" w:color="auto" w:sz="4" w:space="0"/>
            </w:tcBorders>
            <w:vAlign w:val="center"/>
          </w:tcPr>
          <w:p>
            <w:pPr>
              <w:spacing w:line="340" w:lineRule="exact"/>
              <w:jc w:val="center"/>
              <w:rPr>
                <w:rFonts w:eastAsia="宋体"/>
                <w:sz w:val="21"/>
              </w:rPr>
            </w:pPr>
            <w:r>
              <w:rPr>
                <w:rFonts w:hint="eastAsia" w:eastAsia="宋体"/>
                <w:sz w:val="21"/>
              </w:rPr>
              <w:t>回波损耗</w:t>
            </w:r>
          </w:p>
        </w:tc>
        <w:tc>
          <w:tcPr>
            <w:tcW w:w="457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宋体"/>
                <w:sz w:val="21"/>
              </w:rPr>
            </w:pPr>
            <w:r>
              <w:rPr>
                <w:rFonts w:eastAsia="宋体"/>
                <w:sz w:val="21"/>
              </w:rPr>
              <w:t>GY/T 135-1998</w:t>
            </w:r>
          </w:p>
        </w:tc>
      </w:tr>
    </w:tbl>
    <w:p>
      <w:pPr>
        <w:snapToGrid w:val="0"/>
        <w:spacing w:line="560" w:lineRule="exact"/>
        <w:ind w:firstLine="632" w:firstLineChars="200"/>
        <w:rPr>
          <w:szCs w:val="32"/>
        </w:rPr>
      </w:pPr>
      <w:r>
        <w:rPr>
          <w:rFonts w:hint="eastAsia"/>
          <w:szCs w:val="32"/>
        </w:rPr>
        <w:t>2.3实心聚乙烯绝缘柔软射频电缆</w:t>
      </w:r>
    </w:p>
    <w:tbl>
      <w:tblPr>
        <w:tblStyle w:val="5"/>
        <w:tblW w:w="0" w:type="auto"/>
        <w:jc w:val="center"/>
        <w:tblLayout w:type="fixed"/>
        <w:tblCellMar>
          <w:top w:w="0" w:type="dxa"/>
          <w:left w:w="108" w:type="dxa"/>
          <w:bottom w:w="0" w:type="dxa"/>
          <w:right w:w="108" w:type="dxa"/>
        </w:tblCellMar>
      </w:tblPr>
      <w:tblGrid>
        <w:gridCol w:w="1379"/>
        <w:gridCol w:w="3197"/>
        <w:gridCol w:w="4592"/>
      </w:tblGrid>
      <w:tr>
        <w:tblPrEx>
          <w:tblCellMar>
            <w:top w:w="0" w:type="dxa"/>
            <w:left w:w="108" w:type="dxa"/>
            <w:bottom w:w="0" w:type="dxa"/>
            <w:right w:w="108" w:type="dxa"/>
          </w:tblCellMar>
        </w:tblPrEx>
        <w:trPr>
          <w:trHeight w:val="567" w:hRule="atLeast"/>
          <w:tblHeader/>
          <w:jc w:val="center"/>
        </w:trPr>
        <w:tc>
          <w:tcPr>
            <w:tcW w:w="137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3197"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567" w:hRule="atLeast"/>
          <w:jc w:val="center"/>
        </w:trPr>
        <w:tc>
          <w:tcPr>
            <w:tcW w:w="137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3197"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绝缘厚度</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GB∕T2951.11-2008</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绝缘外径</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GB∕T2951.11-2008</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编织单线直径</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GB∕T2951.11-2008</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编织密度</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17737.1-2013</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护套厚度</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GB∕T2951.11-2008</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电缆外径</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GB∕T2951.11-2008</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介质耐电压</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IEC61196-1-105:2005</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护套耐电压</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IEC61196-1-106:2008</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特性阻抗</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IEC61196-1-108:2005</w:t>
            </w:r>
          </w:p>
        </w:tc>
      </w:tr>
      <w:tr>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3197"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衰减常数</w:t>
            </w:r>
          </w:p>
        </w:tc>
        <w:tc>
          <w:tcPr>
            <w:tcW w:w="459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17737.1-2000</w:t>
            </w:r>
          </w:p>
        </w:tc>
      </w:tr>
    </w:tbl>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60" w:lineRule="exact"/>
        <w:ind w:firstLine="632" w:firstLineChars="200"/>
        <w:rPr>
          <w:szCs w:val="32"/>
        </w:rPr>
      </w:pPr>
      <w:r>
        <w:rPr>
          <w:szCs w:val="32"/>
        </w:rPr>
        <w:t>3.1依据标准</w:t>
      </w:r>
    </w:p>
    <w:p>
      <w:pPr>
        <w:snapToGrid w:val="0"/>
        <w:spacing w:line="560" w:lineRule="exact"/>
        <w:ind w:firstLine="632" w:firstLineChars="200"/>
        <w:rPr>
          <w:szCs w:val="32"/>
        </w:rPr>
      </w:pPr>
      <w:r>
        <w:rPr>
          <w:rFonts w:hint="eastAsia"/>
          <w:szCs w:val="32"/>
        </w:rPr>
        <w:t>YD/T 1019-2013《数字通信用聚烯烃绝缘水平对绞电缆》</w:t>
      </w:r>
    </w:p>
    <w:p>
      <w:pPr>
        <w:snapToGrid w:val="0"/>
        <w:spacing w:line="560" w:lineRule="exact"/>
        <w:ind w:firstLine="632" w:firstLineChars="200"/>
        <w:rPr>
          <w:szCs w:val="32"/>
        </w:rPr>
      </w:pPr>
      <w:r>
        <w:rPr>
          <w:rFonts w:hint="eastAsia"/>
          <w:szCs w:val="32"/>
        </w:rPr>
        <w:t>YD/T 1019-2023《数字通信用聚烯烃绝缘水平对绞电缆》</w:t>
      </w:r>
    </w:p>
    <w:p>
      <w:pPr>
        <w:snapToGrid w:val="0"/>
        <w:spacing w:line="560" w:lineRule="exact"/>
        <w:ind w:firstLine="632" w:firstLineChars="200"/>
        <w:rPr>
          <w:szCs w:val="32"/>
        </w:rPr>
      </w:pPr>
      <w:r>
        <w:rPr>
          <w:rFonts w:hint="eastAsia"/>
          <w:szCs w:val="32"/>
        </w:rPr>
        <w:t>GY/T 135-1998《有线电视系统物理发泡聚乙烯绝缘同轴电缆入网技术条件和测量方法》</w:t>
      </w:r>
    </w:p>
    <w:p>
      <w:pPr>
        <w:snapToGrid w:val="0"/>
        <w:spacing w:line="560" w:lineRule="exact"/>
        <w:ind w:firstLine="632" w:firstLineChars="200"/>
        <w:rPr>
          <w:szCs w:val="32"/>
        </w:rPr>
      </w:pPr>
      <w:r>
        <w:rPr>
          <w:rFonts w:hint="eastAsia"/>
          <w:szCs w:val="32"/>
        </w:rPr>
        <w:t>GB/T 14864-2013《实心聚乙烯绝缘柔软射频电缆》</w:t>
      </w:r>
    </w:p>
    <w:p>
      <w:pPr>
        <w:snapToGrid w:val="0"/>
        <w:spacing w:line="560" w:lineRule="exact"/>
        <w:ind w:firstLine="632" w:firstLineChars="200"/>
        <w:rPr>
          <w:szCs w:val="32"/>
        </w:rPr>
      </w:pPr>
      <w:r>
        <w:rPr>
          <w:szCs w:val="32"/>
        </w:rPr>
        <w:t>现行有效的企业标准、团体标准、地方标准及产品明示质量要求</w:t>
      </w:r>
    </w:p>
    <w:p>
      <w:pPr>
        <w:snapToGrid w:val="0"/>
        <w:spacing w:line="560" w:lineRule="exact"/>
        <w:ind w:firstLine="632" w:firstLineChars="200"/>
        <w:rPr>
          <w:szCs w:val="32"/>
        </w:rPr>
      </w:pPr>
      <w:r>
        <w:rPr>
          <w:szCs w:val="32"/>
        </w:rPr>
        <w:t>3.2判定原则</w:t>
      </w:r>
    </w:p>
    <w:p>
      <w:pPr>
        <w:snapToGrid w:val="0"/>
        <w:spacing w:line="56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若被检产品明示的质量要求缺少本细则中检验项目依据的推荐性标准要求时，该项目不参与判定。</w:t>
      </w:r>
    </w:p>
    <w:p>
      <w:pPr>
        <w:snapToGrid w:val="0"/>
        <w:spacing w:line="440" w:lineRule="exact"/>
        <w:ind w:firstLine="410" w:firstLineChars="199"/>
        <w:rPr>
          <w:rFonts w:eastAsia="宋体"/>
          <w:sz w:val="21"/>
          <w:szCs w:val="21"/>
        </w:rPr>
      </w:pPr>
    </w:p>
    <w:p>
      <w:pPr>
        <w:rPr>
          <w:rFonts w:ascii="黑体" w:hAnsi="黑体" w:eastAsia="黑体" w:cs="黑体"/>
          <w:bCs/>
          <w:spacing w:val="-6"/>
          <w:szCs w:val="32"/>
        </w:rPr>
      </w:pPr>
    </w:p>
    <w:p>
      <w:pPr>
        <w:rPr>
          <w:rFonts w:ascii="黑体" w:hAnsi="黑体" w:eastAsia="黑体" w:cs="黑体"/>
          <w:bCs/>
          <w:spacing w:val="-6"/>
          <w:szCs w:val="32"/>
        </w:rPr>
      </w:pPr>
    </w:p>
    <w:p>
      <w:pPr>
        <w:rPr>
          <w:rFonts w:ascii="黑体" w:hAnsi="黑体" w:eastAsia="黑体" w:cs="黑体"/>
          <w:bCs/>
          <w:spacing w:val="-6"/>
          <w:szCs w:val="32"/>
        </w:rPr>
      </w:pPr>
    </w:p>
    <w:p>
      <w:pPr>
        <w:rPr>
          <w:rFonts w:ascii="黑体" w:hAnsi="黑体" w:eastAsia="黑体" w:cs="黑体"/>
          <w:bCs/>
          <w:spacing w:val="-6"/>
          <w:szCs w:val="32"/>
        </w:rPr>
      </w:pPr>
    </w:p>
    <w:p>
      <w:pPr>
        <w:rPr>
          <w:rFonts w:ascii="黑体" w:hAnsi="黑体" w:eastAsia="黑体" w:cs="黑体"/>
          <w:bCs/>
          <w:spacing w:val="-6"/>
          <w:szCs w:val="32"/>
        </w:rPr>
      </w:pPr>
    </w:p>
    <w:p>
      <w:pPr>
        <w:spacing w:line="360" w:lineRule="auto"/>
        <w:rPr>
          <w:rFonts w:ascii="黑体" w:hAnsi="黑体" w:eastAsia="黑体" w:cs="黑体"/>
          <w:bCs/>
          <w:spacing w:val="-6"/>
          <w:szCs w:val="32"/>
        </w:rPr>
      </w:pPr>
    </w:p>
    <w:sectPr>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3M2U0ZDQ4YzMyZDhlMTI3OWMwYjE2N2QwMmUxMGEifQ=="/>
  </w:docVars>
  <w:rsids>
    <w:rsidRoot w:val="4E8835BC"/>
    <w:rsid w:val="00013A6A"/>
    <w:rsid w:val="00150923"/>
    <w:rsid w:val="002D7F1F"/>
    <w:rsid w:val="00375DA8"/>
    <w:rsid w:val="003777B3"/>
    <w:rsid w:val="006526C5"/>
    <w:rsid w:val="00677C9C"/>
    <w:rsid w:val="00860449"/>
    <w:rsid w:val="00C8717D"/>
    <w:rsid w:val="11941D31"/>
    <w:rsid w:val="14514366"/>
    <w:rsid w:val="151E6ED2"/>
    <w:rsid w:val="1EF5217E"/>
    <w:rsid w:val="21237107"/>
    <w:rsid w:val="236352CC"/>
    <w:rsid w:val="27E917D6"/>
    <w:rsid w:val="28900897"/>
    <w:rsid w:val="2C21459C"/>
    <w:rsid w:val="403D31FE"/>
    <w:rsid w:val="4E500A96"/>
    <w:rsid w:val="4E8835BC"/>
    <w:rsid w:val="5B3A3F2B"/>
    <w:rsid w:val="603D1A15"/>
    <w:rsid w:val="63544514"/>
    <w:rsid w:val="6F662BB6"/>
    <w:rsid w:val="70A32137"/>
    <w:rsid w:val="7A577D1B"/>
    <w:rsid w:val="7AC75AAF"/>
    <w:rsid w:val="7F7B3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_0"/>
    <w:unhideWhenUsed/>
    <w:qFormat/>
    <w:uiPriority w:val="0"/>
    <w:tblPr>
      <w:tblCellMar>
        <w:top w:w="0" w:type="dxa"/>
        <w:left w:w="0" w:type="dxa"/>
        <w:bottom w:w="0" w:type="dxa"/>
        <w:right w:w="0" w:type="dxa"/>
      </w:tblCellMar>
    </w:tblPr>
  </w:style>
  <w:style w:type="paragraph" w:styleId="9">
    <w:name w:val="List Paragraph"/>
    <w:basedOn w:val="1"/>
    <w:autoRedefine/>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省市场监督管理局</Company>
  <Pages>8</Pages>
  <Words>343</Words>
  <Characters>1959</Characters>
  <Lines>16</Lines>
  <Paragraphs>4</Paragraphs>
  <TotalTime>5</TotalTime>
  <ScaleCrop>false</ScaleCrop>
  <LinksUpToDate>false</LinksUpToDate>
  <CharactersWithSpaces>2298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cui</cp:lastModifiedBy>
  <dcterms:modified xsi:type="dcterms:W3CDTF">2024-04-29T01:47:16Z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25C7E363F6904330BF4E90D5BE5D64AC_13</vt:lpwstr>
  </property>
  <property fmtid="{D5CDD505-2E9C-101B-9397-08002B2CF9AE}" pid="3" name="KSOProductBuildVer">
    <vt:lpwstr>2052-12.1.0.16417</vt:lpwstr>
  </property>
</Properties>
</file>